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22" w:rsidRPr="00B51104" w:rsidRDefault="00956922" w:rsidP="00B511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IMPELLA VERSUS INTRA-AORTIC BALLOON PUMP IN CARDIOGENIC SHOCK POST PERCUTANEOUS CORONARY INTERVENTION</w:t>
      </w:r>
    </w:p>
    <w:p w:rsidR="00B51104" w:rsidRPr="00B51104" w:rsidRDefault="00956922" w:rsidP="00B5110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5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N. Shah</w:t>
      </w:r>
    </w:p>
    <w:p w:rsidR="00956922" w:rsidRPr="00B51104" w:rsidRDefault="00956922" w:rsidP="00B511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Medicine, St Mary Mercy Hospital, Livonia, MI, USA</w:t>
      </w:r>
      <w:bookmarkStart w:id="0" w:name="_GoBack"/>
      <w:bookmarkEnd w:id="0"/>
    </w:p>
    <w:p w:rsidR="00956922" w:rsidRPr="00B51104" w:rsidRDefault="00956922" w:rsidP="00B5110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1104" w:rsidRDefault="00B51104" w:rsidP="00B511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Introduction: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Cardiogenic shock remains a major cause of in-hospital mortality in acute myocardial infarction (MI), complicating 5-8% of MI admissions. Despite early revascularization, 1 in 3 patients will die during their hospitalization and 1 in 5 within a year after discharge. Management with vasoactive agents after revascularization can have its limitations when hemodynamic supports like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Intra-aortic balloon pump (IABP) </w:t>
      </w:r>
      <w:proofErr w:type="gram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used. This is a critically appraised topic with resultant analysis from multiple literature review.</w:t>
      </w:r>
    </w:p>
    <w:p w:rsidR="00B51104" w:rsidRDefault="00B51104" w:rsidP="00B511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searched PubMed and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Embase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key words:"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", "IABP", "high risk PCI" and "cardiogenic shock". It yielded 22 studies, 2 of them were specific to my topic.</w:t>
      </w:r>
    </w:p>
    <w:p w:rsidR="00B51104" w:rsidRDefault="00B51104" w:rsidP="00B511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multi-center randomized clinical trial, patients with left main or triple-vessel disease and severely depressed left ventricular function were randomly assigned to IABP or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Primary </w:t>
      </w:r>
      <w:proofErr w:type="gram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end point</w:t>
      </w:r>
      <w:proofErr w:type="gram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30-day incidence of major adverse events. Per protocol, 90-day follow-up was required.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superior hemodynamic support with maximal decrease in cardiac power output (</w:t>
      </w:r>
      <w:r w:rsidR="00956922" w:rsidRPr="00B51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P=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0.001) but 30-day major adverse events </w:t>
      </w:r>
      <w:proofErr w:type="gram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proofErr w:type="gram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statistically different; </w:t>
      </w:r>
      <w:r w:rsidR="00956922" w:rsidRPr="00B51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P=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0.22 in intent-to-treat population and </w:t>
      </w:r>
      <w:r w:rsidR="00956922" w:rsidRPr="00B51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=0.092 in per protocol population. Of note, at 90 days, decrease in major adverse events was observed with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="00956922" w:rsidRPr="00B51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=0.066 in intent-to-treat population and </w:t>
      </w:r>
      <w:r w:rsidR="00956922" w:rsidRPr="00B511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=0.023 in per protocol population. In a meta-analysis study, weighed mean differences (MD) were calculated and percutaneous left ventricular assist device patients had higher cardiac index (MD=0.35 L/min/m2), higher mean arterial pressure (MD=12.8 mmHg), and lower pulmonary capillary wedge pressure (MD=25.3 mm Hg) but similar 30-day mortality as compared to IABP (RR 1.06).</w:t>
      </w:r>
    </w:p>
    <w:p w:rsidR="00956922" w:rsidRPr="00B51104" w:rsidRDefault="00B51104" w:rsidP="00B5110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30-day incidence of major adverse events was not different with IABP or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provide improved outcomes at 90 days with superior hemodynamic support and less major adverse events but it does not improve early survival. Cost of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far heavier than IABP. </w:t>
      </w:r>
      <w:proofErr w:type="gram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has to be wisely decided based on individual case whether to choose </w:t>
      </w:r>
      <w:proofErr w:type="spellStart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>Impella</w:t>
      </w:r>
      <w:proofErr w:type="spellEnd"/>
      <w:r w:rsidR="00956922" w:rsidRPr="00B51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IABP had the patient require hemodynamic support post PCI.</w:t>
      </w:r>
    </w:p>
    <w:p w:rsidR="00956922" w:rsidRPr="00B51104" w:rsidRDefault="00956922" w:rsidP="00B51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B51104" w:rsidRDefault="00FC2028" w:rsidP="00B51104">
      <w:pPr>
        <w:rPr>
          <w:sz w:val="24"/>
          <w:szCs w:val="24"/>
        </w:rPr>
      </w:pPr>
    </w:p>
    <w:sectPr w:rsidR="00345DBB" w:rsidRPr="00B511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28" w:rsidRDefault="00FC2028" w:rsidP="00B51104">
      <w:r>
        <w:separator/>
      </w:r>
    </w:p>
  </w:endnote>
  <w:endnote w:type="continuationSeparator" w:id="0">
    <w:p w:rsidR="00FC2028" w:rsidRDefault="00FC2028" w:rsidP="00B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28" w:rsidRDefault="00FC2028" w:rsidP="00B51104">
      <w:r>
        <w:separator/>
      </w:r>
    </w:p>
  </w:footnote>
  <w:footnote w:type="continuationSeparator" w:id="0">
    <w:p w:rsidR="00FC2028" w:rsidRDefault="00FC2028" w:rsidP="00B5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04" w:rsidRPr="00B51104" w:rsidRDefault="00B51104" w:rsidP="00B5110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51104">
      <w:rPr>
        <w:rFonts w:ascii="Times New Roman" w:eastAsia="Times New Roman" w:hAnsi="Times New Roman" w:cs="Times New Roman"/>
        <w:color w:val="000000"/>
        <w:sz w:val="24"/>
        <w:szCs w:val="24"/>
      </w:rPr>
      <w:t>18-A-1308-IAC</w:t>
    </w:r>
  </w:p>
  <w:p w:rsidR="00B51104" w:rsidRPr="00B51104" w:rsidRDefault="00B51104" w:rsidP="00B5110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51104">
      <w:rPr>
        <w:rFonts w:ascii="Times New Roman" w:eastAsia="Times New Roman" w:hAnsi="Times New Roman" w:cs="Times New Roman"/>
        <w:color w:val="000000"/>
        <w:sz w:val="24"/>
        <w:szCs w:val="24"/>
      </w:rPr>
      <w:t>22. Percutaneous Coronary Intervention</w:t>
    </w:r>
  </w:p>
  <w:p w:rsidR="00B51104" w:rsidRDefault="00B51104">
    <w:pPr>
      <w:pStyle w:val="Header"/>
    </w:pPr>
  </w:p>
  <w:p w:rsidR="00B51104" w:rsidRDefault="00B51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22"/>
    <w:rsid w:val="0030401F"/>
    <w:rsid w:val="008A10D5"/>
    <w:rsid w:val="00956922"/>
    <w:rsid w:val="00A128E1"/>
    <w:rsid w:val="00AF6D14"/>
    <w:rsid w:val="00B51104"/>
    <w:rsid w:val="00E7251E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8389"/>
  <w15:chartTrackingRefBased/>
  <w15:docId w15:val="{616D933B-FEB5-4E99-B957-AA93776F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104"/>
  </w:style>
  <w:style w:type="paragraph" w:styleId="Footer">
    <w:name w:val="footer"/>
    <w:basedOn w:val="Normal"/>
    <w:link w:val="FooterChar"/>
    <w:uiPriority w:val="99"/>
    <w:unhideWhenUsed/>
    <w:rsid w:val="00B51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4</cp:revision>
  <dcterms:created xsi:type="dcterms:W3CDTF">2018-05-31T14:14:00Z</dcterms:created>
  <dcterms:modified xsi:type="dcterms:W3CDTF">2018-05-31T14:17:00Z</dcterms:modified>
</cp:coreProperties>
</file>